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12"/>
          <w:szCs w:val="12"/>
        </w:rPr>
        <w:t xml:space="preserve"> 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Titolo11"/>
        <w:spacing w:lineRule="auto" w:line="276"/>
        <w:ind w:left="4248" w:hanging="0"/>
        <w:jc w:val="both"/>
        <w:rPr/>
      </w:pPr>
      <w:r>
        <w:rPr>
          <w:rFonts w:cs="Arial" w:ascii="Arial" w:hAnsi="Arial"/>
          <w:sz w:val="24"/>
          <w:szCs w:val="24"/>
        </w:rPr>
        <w:t>Al Direttore  Generale della ASL Gallura</w:t>
      </w:r>
    </w:p>
    <w:p>
      <w:pPr>
        <w:pStyle w:val="Normal"/>
        <w:widowControl/>
        <w:tabs>
          <w:tab w:val="clear" w:pos="720"/>
          <w:tab w:val="left" w:pos="6875" w:leader="none"/>
        </w:tabs>
        <w:suppressAutoHyphens w:val="true"/>
        <w:bidi w:val="0"/>
        <w:spacing w:before="0" w:after="0"/>
        <w:ind w:left="-57" w:right="0" w:hanging="0"/>
        <w:jc w:val="both"/>
        <w:rPr>
          <w:rFonts w:ascii="Calibri" w:hAnsi="Calibri"/>
          <w:b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6875" w:leader="none"/>
        </w:tabs>
        <w:suppressAutoHyphens w:val="true"/>
        <w:bidi w:val="0"/>
        <w:spacing w:before="0" w:after="0"/>
        <w:ind w:left="-57" w:right="0" w:hanging="0"/>
        <w:jc w:val="both"/>
        <w:rPr>
          <w:rFonts w:ascii="Calibri" w:hAnsi="Calibri"/>
          <w:b/>
          <w:b/>
          <w:bCs/>
          <w:sz w:val="28"/>
          <w:szCs w:val="28"/>
          <w:shd w:fill="FFFFFF" w:val="clear"/>
        </w:rPr>
      </w:pPr>
      <w:r>
        <w:rPr>
          <w:rFonts w:ascii="Calibri" w:hAnsi="Calibri"/>
          <w:b/>
          <w:bCs/>
          <w:sz w:val="28"/>
          <w:szCs w:val="28"/>
          <w:shd w:fill="FFFFFF" w:val="clear"/>
        </w:rPr>
        <w:t>A</w:t>
      </w:r>
      <w:r>
        <w:rPr>
          <w:rFonts w:ascii="Calibri" w:hAnsi="Calibri"/>
          <w:b/>
          <w:bCs/>
          <w:sz w:val="28"/>
          <w:szCs w:val="28"/>
          <w:shd w:fill="FFFFFF" w:val="clear"/>
        </w:rPr>
        <w:t xml:space="preserve">VVISO DI MOBILITA’ ESTERNA VOLONTARIA, IN AMBITO REGIONALE ED INTERREGIONALE, TRA AZIENDE ED ENTI DEL COMPARTO SANITA’ DEL SSN, ,PER TITOLI ED </w:t>
      </w:r>
      <w:r>
        <w:rPr>
          <w:rFonts w:ascii="Calibri" w:hAnsi="Calibri"/>
          <w:b/>
          <w:bCs/>
          <w:sz w:val="28"/>
          <w:szCs w:val="28"/>
          <w:shd w:fill="FFFFFF" w:val="clear"/>
        </w:rPr>
        <w:t xml:space="preserve">EVENTUALE COLLOQUIO, PER LA COPERTURA DI N. </w:t>
      </w:r>
      <w:r>
        <w:rPr>
          <w:rFonts w:ascii="Calibri" w:hAnsi="Calibri"/>
          <w:b/>
          <w:bCs/>
          <w:sz w:val="28"/>
          <w:szCs w:val="28"/>
          <w:shd w:fill="FFFFFF" w:val="clear"/>
        </w:rPr>
        <w:t xml:space="preserve">21 </w:t>
      </w:r>
      <w:r>
        <w:rPr>
          <w:rFonts w:ascii="Calibri" w:hAnsi="Calibri"/>
          <w:b/>
          <w:bCs/>
          <w:sz w:val="28"/>
          <w:szCs w:val="28"/>
          <w:shd w:fill="FFFFFF" w:val="clear"/>
        </w:rPr>
        <w:t xml:space="preserve"> POSTI NEL PROFILO DI DIRIGENTE MEDICO DELLA DISCIPLINA DI MEDICINA E CHIRURGIA D’ACCETTAZIONE E D’URGENZA.</w:t>
      </w:r>
    </w:p>
    <w:p>
      <w:pPr>
        <w:pStyle w:val="Normal"/>
        <w:widowControl/>
        <w:tabs>
          <w:tab w:val="clear" w:pos="720"/>
          <w:tab w:val="left" w:pos="6875" w:leader="none"/>
        </w:tabs>
        <w:suppressAutoHyphens w:val="true"/>
        <w:bidi w:val="0"/>
        <w:spacing w:before="0" w:after="0"/>
        <w:ind w:left="-57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Il/la sottoscritt_ _______________________________ chiede di essere ammesso/a a partecipare all’Avviso di mobilità esterna volontaria, in ambito regionale ed interregionale, tra Aziende ed Enti del comparto sanità del SSN, per titoli ed eventuale colloquio, per la copertura di n.</w:t>
      </w:r>
      <w:r>
        <w:rPr>
          <w:rFonts w:ascii="Calibri" w:hAnsi="Calibri"/>
          <w:sz w:val="24"/>
          <w:szCs w:val="24"/>
        </w:rPr>
        <w:t xml:space="preserve">21 posti </w:t>
      </w:r>
      <w:r>
        <w:rPr>
          <w:rFonts w:ascii="Calibri" w:hAnsi="Calibri"/>
          <w:sz w:val="24"/>
          <w:szCs w:val="24"/>
        </w:rPr>
        <w:t xml:space="preserve">nel profilo di Dirigente </w:t>
      </w:r>
      <w:r>
        <w:rPr>
          <w:rFonts w:ascii="Calibri" w:hAnsi="Calibri"/>
          <w:sz w:val="24"/>
          <w:szCs w:val="24"/>
        </w:rPr>
        <w:t xml:space="preserve">Medico della disciplina di Medicina e Chirurgia d’Accettazione e d’Urgenza </w:t>
      </w:r>
      <w:r>
        <w:rPr>
          <w:rFonts w:ascii="Calibri" w:hAnsi="Calibri"/>
          <w:sz w:val="24"/>
          <w:szCs w:val="24"/>
        </w:rPr>
        <w:t>indetto con Deliberazione   n.______ del________________.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</w:rPr>
      </w:pPr>
      <w:r>
        <w:rPr>
          <w:rFonts w:ascii="Calibri" w:hAnsi="Calibri"/>
        </w:rPr>
        <w:t>Sotto la personale responsabilità, e consapevole delle pene stabilite per false attestazioni e mendaci dichiarazioni dagli artt. 75 e 76 D.P.R. n. 445/2000, ai sensi dell’art. 46 D.P.R. n. 445/2000 dichiara: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nat_ a___________________ (prov._____) il____________ e di risiedere in______________________ (prov. di ____) c.a.p. ________ Via ___________________, n. ___;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in possesso della cittadinanza___________________ (a);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iscritto nelle liste elettorali del comune di___________________________ (b). I cittadini di uno degli Stati membri dell’Unione Europea, devono dichiarare il godimento dei diritti civili e politici nello stato di appartenenza o di provenienza;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non aver mai riportato condanne penali /// di aver riportato le seguenti condanne penali________________________________ (c) (depennare la voce che non interessa);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non essere a conoscenza di procedimenti penali a suo carico /// di essere a conoscenza dei seguenti procedimenti penali________________________________ specificare le ragioni del procedimento e gli estremi (depennare la voce che non interessa);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in possesso della laurea in________________________________________(d) e della specializzazione in__________________________________ (d)  ovvero dell’iscrizione al _______ anno del corso di formazione specialistica nella disciplina di______________ di durata_____________(depennare la voce che non interessa);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iscritto all’Albo dell’Ordine dei Medici-Chirurghi e degli Odontoiatri;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aver prestato i seguenti servizi presso Pubbliche Amministrazioni___________________ (e);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non essere stato destituito o dispensato dall’impiego presso pubbliche amministrazioni, ovvero di non essere stato licenziato per aver conseguito l’impiego mediante la produzione di documenti falsi o con mezzi fraudolenti;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fisicamente idoneo all’impiego;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trovarsi, nei riguardi degli obblighi militari, nella seguente posizione_________________(f);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avere adeguata conoscenza della lingua italiana (g);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>di acconsentire al trattamento dei dati personali, ai sensi del D.Lgs 196/2003 e del Regolamento UE 679/2016, per tutte le fasi previste per la presente procedura.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Dichiara di voler ricevere ogni comunicazione relativa al presente avviso al seguente indirizzo Pec:___________________________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Data ________________________ 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6860" w:right="113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Firma 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5839" w:right="113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>
        <w:rPr>
          <w:rFonts w:ascii="Calibri" w:hAnsi="Calibri"/>
        </w:rPr>
        <w:t>___________________</w:t>
      </w:r>
    </w:p>
    <w:p>
      <w:pPr>
        <w:pStyle w:val="Normal"/>
        <w:ind w:left="3822" w:right="0" w:firstLine="18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ind w:left="3822" w:right="0" w:firstLine="18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ind w:left="-1134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 xml:space="preserve">                       </w:t>
      </w:r>
      <w:r>
        <w:rPr>
          <w:rFonts w:ascii="Calibri" w:hAnsi="Calibri"/>
          <w:sz w:val="18"/>
          <w:szCs w:val="18"/>
        </w:rPr>
        <w:t>Note: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a) cittadinanza italiana o di uno degli Stati membri della U.E. o di uno dei Paesi Terzi, con i requisiti previsti dall’art. 38, D.Lgs.    n.165/2001 s.m.i., indicando quale;</w:t>
      </w:r>
    </w:p>
    <w:p>
      <w:pPr>
        <w:pStyle w:val="Normal"/>
        <w:ind w:left="-1134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 xml:space="preserve">                       </w:t>
      </w:r>
      <w:r>
        <w:rPr>
          <w:rFonts w:ascii="Calibri" w:hAnsi="Calibri"/>
          <w:sz w:val="18"/>
          <w:szCs w:val="18"/>
        </w:rPr>
        <w:t>b) in caso di non iscrizione o di avvenuta cancellazione dalle liste elettorali, indicarne i motivi;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c) le condanne penali vanno dichiarate anche quando sia stata concessa amnistia, indulto, condono e perdono giudiziale o non vengano riportate nel casellario giudiziario;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d) i titoli conseguiti all’estero devono aver ottenuto la necessaria dichiarazione di equipollenza ai titoli italiani e il     riconoscimento da parte dell’Autorità competente;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e) vanno dichiarati i servizi prestati presso pubbliche amministrazioni e le cause di risoluzione di precedenti rapporti di pubblico impiego;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f) specificare la data di inizio e fine servizio militare e con che grado è stato svolto. Si consiglia di allegare copia stato matricolare;</w:t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20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20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20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57378-6D49-4488-9905-FC1D9A37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Application>LibreOffice/7.4.3.2$Windows_X86_64 LibreOffice_project/1048a8393ae2eeec98dff31b5c133c5f1d08b890</Application>
  <AppVersion>15.0000</AppVersion>
  <Pages>2</Pages>
  <Words>577</Words>
  <Characters>3623</Characters>
  <CharactersWithSpaces>4260</CharactersWithSpaces>
  <Paragraphs>43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2023-06-28T05:29:00Z</dcterms:created>
  <dc:creator>cristianlivolsi</dc:creator>
  <dc:description/>
  <dc:language>it-IT</dc:language>
  <cp:lastModifiedBy/>
  <cp:lastPrinted>2024-02-05T10:21:32Z</cp:lastPrinted>
  <dcterms:modified xsi:type="dcterms:W3CDTF">2024-02-29T09:59:58Z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